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B7B4" w14:textId="77777777" w:rsidR="00054B85" w:rsidRPr="00054B85" w:rsidRDefault="00054B85" w:rsidP="00054B85">
      <w:pPr>
        <w:rPr>
          <w:sz w:val="22"/>
          <w:szCs w:val="22"/>
          <w:lang w:val="pt-BR"/>
        </w:rPr>
      </w:pPr>
    </w:p>
    <w:p w14:paraId="235D49BC" w14:textId="77777777" w:rsidR="00054B85" w:rsidRPr="00054B85" w:rsidRDefault="00054B85" w:rsidP="00054B85">
      <w:pPr>
        <w:rPr>
          <w:sz w:val="22"/>
          <w:szCs w:val="22"/>
        </w:rPr>
        <w:sectPr w:rsidR="00054B85" w:rsidRPr="00054B85" w:rsidSect="007E3E18">
          <w:pgSz w:w="12242" w:h="15842" w:code="1"/>
          <w:pgMar w:top="1418" w:right="851" w:bottom="1418" w:left="1134" w:header="850" w:footer="709" w:gutter="0"/>
          <w:cols w:space="708"/>
          <w:docGrid w:linePitch="360"/>
        </w:sectPr>
      </w:pPr>
    </w:p>
    <w:p w14:paraId="4CE286DD" w14:textId="77777777" w:rsidR="00054B85" w:rsidRPr="00054B85" w:rsidRDefault="00054B85" w:rsidP="00054B85">
      <w:pPr>
        <w:rPr>
          <w:b/>
          <w:sz w:val="22"/>
          <w:szCs w:val="22"/>
        </w:rPr>
      </w:pPr>
      <w:r w:rsidRPr="00054B85">
        <w:rPr>
          <w:b/>
          <w:sz w:val="22"/>
          <w:szCs w:val="22"/>
        </w:rPr>
        <w:t>BITCOIN, MONEDA VIRTUAL, RIESGOS</w:t>
      </w:r>
    </w:p>
    <w:p w14:paraId="295CB6C3" w14:textId="77777777" w:rsidR="00054B85" w:rsidRPr="00054B85" w:rsidRDefault="00054B85" w:rsidP="00054B85">
      <w:pPr>
        <w:rPr>
          <w:sz w:val="22"/>
          <w:szCs w:val="22"/>
        </w:rPr>
      </w:pPr>
      <w:r w:rsidRPr="00054B85">
        <w:rPr>
          <w:sz w:val="22"/>
          <w:szCs w:val="22"/>
        </w:rPr>
        <w:t xml:space="preserve">Concepto  </w:t>
      </w:r>
      <w:bookmarkStart w:id="0" w:name="Num_radicado2"/>
      <w:r w:rsidRPr="00054B85">
        <w:rPr>
          <w:sz w:val="22"/>
          <w:szCs w:val="22"/>
        </w:rPr>
        <w:t>2014027011-001 del 2 de mayo de 2014</w:t>
      </w:r>
      <w:bookmarkEnd w:id="0"/>
    </w:p>
    <w:p w14:paraId="64DC0E96" w14:textId="77777777" w:rsidR="00054B85" w:rsidRPr="00054B85" w:rsidRDefault="00054B85" w:rsidP="00054B85">
      <w:pPr>
        <w:widowControl w:val="0"/>
        <w:jc w:val="both"/>
        <w:rPr>
          <w:sz w:val="22"/>
          <w:szCs w:val="22"/>
        </w:rPr>
      </w:pPr>
    </w:p>
    <w:p w14:paraId="69286FB9" w14:textId="77777777" w:rsidR="00054B85" w:rsidRPr="00054B85" w:rsidRDefault="00054B85" w:rsidP="00054B85">
      <w:pPr>
        <w:widowControl w:val="0"/>
        <w:jc w:val="both"/>
        <w:rPr>
          <w:sz w:val="22"/>
          <w:szCs w:val="22"/>
        </w:rPr>
      </w:pPr>
    </w:p>
    <w:p w14:paraId="4F53073D" w14:textId="77777777" w:rsidR="00054B85" w:rsidRPr="00054B85" w:rsidRDefault="00054B85" w:rsidP="00054B85">
      <w:pPr>
        <w:widowControl w:val="0"/>
        <w:jc w:val="both"/>
        <w:rPr>
          <w:i/>
          <w:sz w:val="22"/>
          <w:szCs w:val="22"/>
        </w:rPr>
      </w:pPr>
      <w:r w:rsidRPr="00054B85">
        <w:rPr>
          <w:b/>
          <w:sz w:val="22"/>
          <w:szCs w:val="22"/>
        </w:rPr>
        <w:t>Síntesis:</w:t>
      </w:r>
      <w:r w:rsidRPr="00054B85">
        <w:rPr>
          <w:sz w:val="22"/>
          <w:szCs w:val="22"/>
        </w:rPr>
        <w:t xml:space="preserve"> </w:t>
      </w:r>
      <w:r w:rsidR="0076085B">
        <w:rPr>
          <w:i/>
          <w:sz w:val="22"/>
          <w:szCs w:val="22"/>
        </w:rPr>
        <w:t>Mediante</w:t>
      </w:r>
      <w:r w:rsidRPr="00054B85">
        <w:rPr>
          <w:i/>
          <w:sz w:val="22"/>
          <w:szCs w:val="22"/>
        </w:rPr>
        <w:t xml:space="preserve"> Carta Circular 29 de 2014, esta Superintendencia prohibió a las entidades vigiladas custodiar, invertir o intermediar con monedas digitales e instó a las personas naturales a conocer y asumir los riesgos inherentes a las operaciones realizadas con dicho instrumento.  </w:t>
      </w:r>
    </w:p>
    <w:p w14:paraId="3F4992BD" w14:textId="77777777" w:rsidR="00054B85" w:rsidRPr="00054B85" w:rsidRDefault="00054B85" w:rsidP="00054B85">
      <w:pPr>
        <w:widowControl w:val="0"/>
        <w:jc w:val="both"/>
        <w:rPr>
          <w:i/>
          <w:sz w:val="22"/>
          <w:szCs w:val="22"/>
        </w:rPr>
      </w:pPr>
    </w:p>
    <w:p w14:paraId="048F45DD" w14:textId="77777777" w:rsidR="00054B85" w:rsidRPr="00054B85" w:rsidRDefault="00054B85" w:rsidP="00054B85">
      <w:pPr>
        <w:widowControl w:val="0"/>
        <w:jc w:val="both"/>
        <w:rPr>
          <w:sz w:val="22"/>
          <w:szCs w:val="22"/>
        </w:rPr>
      </w:pPr>
    </w:p>
    <w:p w14:paraId="0777E3AA" w14:textId="77777777" w:rsidR="00054B85" w:rsidRPr="00054B85" w:rsidRDefault="00054B85" w:rsidP="00054B85">
      <w:pPr>
        <w:widowControl w:val="0"/>
        <w:jc w:val="both"/>
        <w:rPr>
          <w:sz w:val="22"/>
          <w:szCs w:val="22"/>
        </w:rPr>
      </w:pPr>
      <w:r w:rsidRPr="00054B85">
        <w:rPr>
          <w:sz w:val="22"/>
          <w:szCs w:val="22"/>
        </w:rPr>
        <w:t xml:space="preserve">«(…) comunicación mediante la cual eleva una petición acerca de las recientes medidas tomadas con respecto al Bitcoin y las monedas digitales, en los siguientes términos: </w:t>
      </w:r>
      <w:r w:rsidRPr="00054B85">
        <w:rPr>
          <w:i/>
          <w:sz w:val="22"/>
          <w:szCs w:val="22"/>
          <w:lang w:val="es-CO"/>
        </w:rPr>
        <w:t xml:space="preserve">“I </w:t>
      </w:r>
      <w:proofErr w:type="spellStart"/>
      <w:r w:rsidRPr="00054B85">
        <w:rPr>
          <w:i/>
          <w:sz w:val="22"/>
          <w:szCs w:val="22"/>
          <w:lang w:val="es-CO"/>
        </w:rPr>
        <w:t>was</w:t>
      </w:r>
      <w:proofErr w:type="spellEnd"/>
      <w:r w:rsidRPr="00054B85">
        <w:rPr>
          <w:i/>
          <w:sz w:val="22"/>
          <w:szCs w:val="22"/>
          <w:lang w:val="es-CO"/>
        </w:rPr>
        <w:t xml:space="preserve"> </w:t>
      </w:r>
      <w:proofErr w:type="spellStart"/>
      <w:r w:rsidRPr="00054B85">
        <w:rPr>
          <w:i/>
          <w:sz w:val="22"/>
          <w:szCs w:val="22"/>
          <w:lang w:val="es-CO"/>
        </w:rPr>
        <w:t>hoping</w:t>
      </w:r>
      <w:proofErr w:type="spellEnd"/>
      <w:r w:rsidRPr="00054B85">
        <w:rPr>
          <w:i/>
          <w:sz w:val="22"/>
          <w:szCs w:val="22"/>
          <w:lang w:val="es-CO"/>
        </w:rPr>
        <w:t xml:space="preserve"> </w:t>
      </w:r>
      <w:proofErr w:type="spellStart"/>
      <w:r w:rsidRPr="00054B85">
        <w:rPr>
          <w:i/>
          <w:sz w:val="22"/>
          <w:szCs w:val="22"/>
          <w:lang w:val="es-CO"/>
        </w:rPr>
        <w:t>to</w:t>
      </w:r>
      <w:proofErr w:type="spellEnd"/>
      <w:r w:rsidRPr="00054B85">
        <w:rPr>
          <w:i/>
          <w:sz w:val="22"/>
          <w:szCs w:val="22"/>
          <w:lang w:val="es-CO"/>
        </w:rPr>
        <w:t xml:space="preserve"> </w:t>
      </w:r>
      <w:proofErr w:type="spellStart"/>
      <w:r w:rsidRPr="00054B85">
        <w:rPr>
          <w:i/>
          <w:sz w:val="22"/>
          <w:szCs w:val="22"/>
          <w:lang w:val="es-CO"/>
        </w:rPr>
        <w:t>get</w:t>
      </w:r>
      <w:proofErr w:type="spellEnd"/>
      <w:r w:rsidRPr="00054B85">
        <w:rPr>
          <w:i/>
          <w:sz w:val="22"/>
          <w:szCs w:val="22"/>
          <w:lang w:val="es-CO"/>
        </w:rPr>
        <w:t xml:space="preserve"> a </w:t>
      </w:r>
      <w:proofErr w:type="spellStart"/>
      <w:r w:rsidRPr="00054B85">
        <w:rPr>
          <w:i/>
          <w:sz w:val="22"/>
          <w:szCs w:val="22"/>
          <w:lang w:val="es-CO"/>
        </w:rPr>
        <w:t>statement</w:t>
      </w:r>
      <w:proofErr w:type="spellEnd"/>
      <w:r w:rsidRPr="00054B85">
        <w:rPr>
          <w:i/>
          <w:sz w:val="22"/>
          <w:szCs w:val="22"/>
          <w:lang w:val="es-CO"/>
        </w:rPr>
        <w:t xml:space="preserve"> </w:t>
      </w:r>
      <w:proofErr w:type="spellStart"/>
      <w:r w:rsidRPr="00054B85">
        <w:rPr>
          <w:i/>
          <w:sz w:val="22"/>
          <w:szCs w:val="22"/>
          <w:lang w:val="es-CO"/>
        </w:rPr>
        <w:t>from</w:t>
      </w:r>
      <w:proofErr w:type="spellEnd"/>
      <w:r w:rsidRPr="00054B85">
        <w:rPr>
          <w:i/>
          <w:sz w:val="22"/>
          <w:szCs w:val="22"/>
          <w:lang w:val="es-CO"/>
        </w:rPr>
        <w:t xml:space="preserve"> </w:t>
      </w:r>
      <w:proofErr w:type="spellStart"/>
      <w:r w:rsidRPr="00054B85">
        <w:rPr>
          <w:i/>
          <w:sz w:val="22"/>
          <w:szCs w:val="22"/>
          <w:lang w:val="es-CO"/>
        </w:rPr>
        <w:t>the</w:t>
      </w:r>
      <w:proofErr w:type="spellEnd"/>
      <w:r w:rsidRPr="00054B85">
        <w:rPr>
          <w:i/>
          <w:sz w:val="22"/>
          <w:szCs w:val="22"/>
          <w:lang w:val="es-CO"/>
        </w:rPr>
        <w:t xml:space="preserve"> </w:t>
      </w:r>
      <w:proofErr w:type="spellStart"/>
      <w:r w:rsidRPr="00054B85">
        <w:rPr>
          <w:i/>
          <w:sz w:val="22"/>
          <w:szCs w:val="22"/>
          <w:lang w:val="es-CO"/>
        </w:rPr>
        <w:t>Superintendency</w:t>
      </w:r>
      <w:proofErr w:type="spellEnd"/>
      <w:r w:rsidRPr="00054B85">
        <w:rPr>
          <w:i/>
          <w:sz w:val="22"/>
          <w:szCs w:val="22"/>
          <w:lang w:val="es-CO"/>
        </w:rPr>
        <w:t xml:space="preserve"> (sic) </w:t>
      </w:r>
      <w:proofErr w:type="spellStart"/>
      <w:r w:rsidRPr="00054B85">
        <w:rPr>
          <w:i/>
          <w:sz w:val="22"/>
          <w:szCs w:val="22"/>
          <w:lang w:val="es-CO"/>
        </w:rPr>
        <w:t>about</w:t>
      </w:r>
      <w:proofErr w:type="spellEnd"/>
      <w:r w:rsidRPr="00054B85">
        <w:rPr>
          <w:i/>
          <w:sz w:val="22"/>
          <w:szCs w:val="22"/>
          <w:lang w:val="es-CO"/>
        </w:rPr>
        <w:t xml:space="preserve"> </w:t>
      </w:r>
      <w:proofErr w:type="spellStart"/>
      <w:r w:rsidRPr="00054B85">
        <w:rPr>
          <w:i/>
          <w:sz w:val="22"/>
          <w:szCs w:val="22"/>
          <w:lang w:val="es-CO"/>
        </w:rPr>
        <w:t>the</w:t>
      </w:r>
      <w:proofErr w:type="spellEnd"/>
      <w:r w:rsidRPr="00054B85">
        <w:rPr>
          <w:i/>
          <w:sz w:val="22"/>
          <w:szCs w:val="22"/>
          <w:lang w:val="es-CO"/>
        </w:rPr>
        <w:t xml:space="preserve"> </w:t>
      </w:r>
      <w:proofErr w:type="spellStart"/>
      <w:r w:rsidRPr="00054B85">
        <w:rPr>
          <w:i/>
          <w:sz w:val="22"/>
          <w:szCs w:val="22"/>
          <w:lang w:val="es-CO"/>
        </w:rPr>
        <w:t>recent</w:t>
      </w:r>
      <w:proofErr w:type="spellEnd"/>
      <w:r w:rsidRPr="00054B85">
        <w:rPr>
          <w:i/>
          <w:sz w:val="22"/>
          <w:szCs w:val="22"/>
          <w:lang w:val="es-CO"/>
        </w:rPr>
        <w:t xml:space="preserve"> </w:t>
      </w:r>
      <w:proofErr w:type="spellStart"/>
      <w:r w:rsidRPr="00054B85">
        <w:rPr>
          <w:i/>
          <w:sz w:val="22"/>
          <w:szCs w:val="22"/>
          <w:lang w:val="es-CO"/>
        </w:rPr>
        <w:t>decision</w:t>
      </w:r>
      <w:proofErr w:type="spellEnd"/>
      <w:r w:rsidRPr="00054B85">
        <w:rPr>
          <w:i/>
          <w:sz w:val="22"/>
          <w:szCs w:val="22"/>
          <w:lang w:val="es-CO"/>
        </w:rPr>
        <w:t xml:space="preserve"> </w:t>
      </w:r>
      <w:proofErr w:type="spellStart"/>
      <w:r w:rsidRPr="00054B85">
        <w:rPr>
          <w:i/>
          <w:sz w:val="22"/>
          <w:szCs w:val="22"/>
          <w:lang w:val="es-CO"/>
        </w:rPr>
        <w:t>to</w:t>
      </w:r>
      <w:proofErr w:type="spellEnd"/>
      <w:r w:rsidRPr="00054B85">
        <w:rPr>
          <w:i/>
          <w:sz w:val="22"/>
          <w:szCs w:val="22"/>
          <w:lang w:val="es-CO"/>
        </w:rPr>
        <w:t xml:space="preserve"> </w:t>
      </w:r>
      <w:proofErr w:type="spellStart"/>
      <w:r w:rsidRPr="00054B85">
        <w:rPr>
          <w:i/>
          <w:sz w:val="22"/>
          <w:szCs w:val="22"/>
          <w:lang w:val="es-CO"/>
        </w:rPr>
        <w:t>ban</w:t>
      </w:r>
      <w:proofErr w:type="spellEnd"/>
      <w:r w:rsidRPr="00054B85">
        <w:rPr>
          <w:i/>
          <w:sz w:val="22"/>
          <w:szCs w:val="22"/>
          <w:lang w:val="es-CO"/>
        </w:rPr>
        <w:t xml:space="preserve"> Bitcoin </w:t>
      </w:r>
      <w:proofErr w:type="spellStart"/>
      <w:r w:rsidRPr="00054B85">
        <w:rPr>
          <w:i/>
          <w:sz w:val="22"/>
          <w:szCs w:val="22"/>
          <w:lang w:val="es-CO"/>
        </w:rPr>
        <w:t>transactions</w:t>
      </w:r>
      <w:proofErr w:type="spellEnd"/>
      <w:r w:rsidRPr="00054B85">
        <w:rPr>
          <w:i/>
          <w:sz w:val="22"/>
          <w:szCs w:val="22"/>
          <w:lang w:val="es-CO"/>
        </w:rPr>
        <w:t xml:space="preserve"> in Colombia. (…)”</w:t>
      </w:r>
      <w:r w:rsidRPr="00054B85">
        <w:rPr>
          <w:sz w:val="22"/>
          <w:szCs w:val="22"/>
        </w:rPr>
        <w:t xml:space="preserve">.  </w:t>
      </w:r>
    </w:p>
    <w:p w14:paraId="1D65A2F6" w14:textId="77777777" w:rsidR="00054B85" w:rsidRPr="00054B85" w:rsidRDefault="00054B85" w:rsidP="00054B85">
      <w:pPr>
        <w:widowControl w:val="0"/>
        <w:jc w:val="both"/>
        <w:rPr>
          <w:sz w:val="22"/>
          <w:szCs w:val="22"/>
        </w:rPr>
      </w:pPr>
    </w:p>
    <w:p w14:paraId="5F2985AA" w14:textId="77777777" w:rsidR="00054B85" w:rsidRPr="00054B85" w:rsidRDefault="00054B85" w:rsidP="00054B85">
      <w:pPr>
        <w:jc w:val="both"/>
        <w:rPr>
          <w:sz w:val="22"/>
          <w:szCs w:val="22"/>
        </w:rPr>
      </w:pPr>
      <w:r w:rsidRPr="00054B85">
        <w:rPr>
          <w:sz w:val="22"/>
          <w:szCs w:val="22"/>
        </w:rPr>
        <w:t>Sobre el particular, me permito remitirle los siguientes comentarios, de acuerdo con el contenido de su comunicación:</w:t>
      </w:r>
    </w:p>
    <w:p w14:paraId="56F9C3D7" w14:textId="77777777" w:rsidR="00054B85" w:rsidRPr="00054B85" w:rsidRDefault="00054B85" w:rsidP="00054B85">
      <w:pPr>
        <w:jc w:val="both"/>
        <w:rPr>
          <w:sz w:val="22"/>
          <w:szCs w:val="22"/>
        </w:rPr>
      </w:pPr>
    </w:p>
    <w:p w14:paraId="46DAFD53" w14:textId="77777777" w:rsidR="00054B85" w:rsidRPr="00054B85" w:rsidRDefault="00054B85" w:rsidP="00054B85">
      <w:pPr>
        <w:jc w:val="both"/>
        <w:rPr>
          <w:sz w:val="22"/>
          <w:szCs w:val="22"/>
        </w:rPr>
      </w:pPr>
      <w:r w:rsidRPr="00054B85">
        <w:rPr>
          <w:sz w:val="22"/>
          <w:szCs w:val="22"/>
        </w:rPr>
        <w:t xml:space="preserve">Con respecto a las monedas digitales, el día 20 de marzo de 2014, el Ministro de Hacienda, Mauricio Cardenas Santamaría, manifestó durante el V Congreso de acceso a servicios financieros, sistemas y herramientas de pago, lo siguiente: </w:t>
      </w:r>
    </w:p>
    <w:p w14:paraId="5A353A68" w14:textId="77777777" w:rsidR="00054B85" w:rsidRPr="00054B85" w:rsidRDefault="00054B85" w:rsidP="00054B85">
      <w:pPr>
        <w:jc w:val="both"/>
        <w:rPr>
          <w:sz w:val="22"/>
          <w:szCs w:val="22"/>
        </w:rPr>
      </w:pPr>
    </w:p>
    <w:p w14:paraId="470E9F24" w14:textId="77777777" w:rsidR="00054B85" w:rsidRPr="00054B85" w:rsidRDefault="00054B85" w:rsidP="00054B85">
      <w:pPr>
        <w:ind w:left="567" w:right="567"/>
        <w:jc w:val="both"/>
        <w:rPr>
          <w:i/>
          <w:sz w:val="22"/>
          <w:szCs w:val="22"/>
        </w:rPr>
      </w:pPr>
      <w:r w:rsidRPr="00054B85">
        <w:rPr>
          <w:i/>
          <w:sz w:val="22"/>
          <w:szCs w:val="22"/>
        </w:rPr>
        <w:t>“Lo más importante, mientras el Gobierno y las autoridades hacen sus anuncios, es decirles a los colombianos que es el Estado es el que tiene el monopolio sobre el dinero. Nuestra moneda es confiable, segura y no genera ningún tipo de riesgo, mientras que otras formas de dinero no tienen ese mismo nivel de respaldo y garantías.”</w:t>
      </w:r>
    </w:p>
    <w:p w14:paraId="16FC0F7B" w14:textId="77777777" w:rsidR="00054B85" w:rsidRPr="00054B85" w:rsidRDefault="00054B85" w:rsidP="00054B85">
      <w:pPr>
        <w:jc w:val="both"/>
        <w:rPr>
          <w:sz w:val="22"/>
          <w:szCs w:val="22"/>
        </w:rPr>
      </w:pPr>
    </w:p>
    <w:p w14:paraId="5EEAAEA2" w14:textId="77777777" w:rsidR="00054B85" w:rsidRPr="00054B85" w:rsidRDefault="00054B85" w:rsidP="00054B85">
      <w:pPr>
        <w:jc w:val="both"/>
        <w:rPr>
          <w:sz w:val="22"/>
          <w:szCs w:val="22"/>
        </w:rPr>
      </w:pPr>
      <w:r w:rsidRPr="00054B85">
        <w:rPr>
          <w:sz w:val="22"/>
          <w:szCs w:val="22"/>
        </w:rPr>
        <w:t xml:space="preserve">De acuerdo con lo anterior, el día 26 de marzo de 2014, la Superintendencia Financiera de Colombia expidió la Carta Circular 29 de 2014 donde se explica al público en general los riesgos de las operaciones realizadas con monedas virtuales. Para su ilustración, a continuación le transcribiremos apartes de la mencionada carta circular, la cual puede encontrar en la página web </w:t>
      </w:r>
      <w:hyperlink r:id="rId6" w:history="1">
        <w:r w:rsidRPr="00054B85">
          <w:rPr>
            <w:color w:val="0000FF" w:themeColor="hyperlink"/>
            <w:sz w:val="22"/>
            <w:szCs w:val="22"/>
            <w:u w:val="single"/>
          </w:rPr>
          <w:t>www.superfinanciera.gov.co</w:t>
        </w:r>
      </w:hyperlink>
      <w:r w:rsidRPr="00054B85">
        <w:rPr>
          <w:sz w:val="22"/>
          <w:szCs w:val="22"/>
        </w:rPr>
        <w:t xml:space="preserve"> vínculo “normativa”, pestaña “normativa general”: </w:t>
      </w:r>
    </w:p>
    <w:p w14:paraId="6C3A6B98" w14:textId="77777777" w:rsidR="00054B85" w:rsidRPr="00054B85" w:rsidRDefault="00054B85" w:rsidP="00054B85">
      <w:pPr>
        <w:jc w:val="both"/>
        <w:rPr>
          <w:sz w:val="22"/>
          <w:szCs w:val="22"/>
        </w:rPr>
      </w:pPr>
    </w:p>
    <w:p w14:paraId="183E91E5" w14:textId="77777777" w:rsidR="00054B85" w:rsidRPr="00054B85" w:rsidRDefault="00054B85" w:rsidP="00054B85">
      <w:pPr>
        <w:ind w:left="567" w:right="567"/>
        <w:jc w:val="both"/>
        <w:rPr>
          <w:i/>
          <w:sz w:val="22"/>
          <w:szCs w:val="22"/>
        </w:rPr>
      </w:pPr>
      <w:r w:rsidRPr="00054B85">
        <w:rPr>
          <w:i/>
          <w:sz w:val="22"/>
          <w:szCs w:val="22"/>
        </w:rPr>
        <w:t>“(…) Ninguna de las plataformas transaccionales, ni comercializadores de las “monedas virtuales" como el Bitcoin se encuentran reguladas por la ley colombiana. Tampoco se encuentran sujetas al control, vigilancia o inspección de esta Superintendencia. Por lo anterior, tales plataformas pueden no contar con estándares o procesos seguros y de mitigación de riesgos, por lo que con regularidad presentan fallas que llevan a que los usuarios de las mismas incurran en pérdidas. (…)</w:t>
      </w:r>
    </w:p>
    <w:p w14:paraId="336FB26B" w14:textId="77777777" w:rsidR="00054B85" w:rsidRPr="00054B85" w:rsidRDefault="00054B85" w:rsidP="00054B85">
      <w:pPr>
        <w:ind w:left="567" w:right="567"/>
        <w:jc w:val="both"/>
        <w:rPr>
          <w:i/>
          <w:sz w:val="22"/>
          <w:szCs w:val="22"/>
        </w:rPr>
      </w:pPr>
    </w:p>
    <w:p w14:paraId="5F1C7D80" w14:textId="77777777" w:rsidR="00054B85" w:rsidRPr="00054B85" w:rsidRDefault="00054B85" w:rsidP="00054B85">
      <w:pPr>
        <w:ind w:left="567" w:right="567"/>
        <w:jc w:val="both"/>
        <w:rPr>
          <w:i/>
          <w:sz w:val="22"/>
          <w:szCs w:val="22"/>
        </w:rPr>
      </w:pPr>
      <w:r w:rsidRPr="00054B85">
        <w:rPr>
          <w:i/>
          <w:sz w:val="22"/>
          <w:szCs w:val="22"/>
        </w:rPr>
        <w:t xml:space="preserve">(…) esta Superintendencia recuerda que las </w:t>
      </w:r>
      <w:r w:rsidRPr="00054B85">
        <w:rPr>
          <w:i/>
          <w:sz w:val="22"/>
          <w:szCs w:val="22"/>
          <w:u w:val="single"/>
        </w:rPr>
        <w:t>entidades vigiladas no se encuentran autorizadas para custodiar, invertir, ni intermediar con estos instrumentos</w:t>
      </w:r>
      <w:r w:rsidRPr="00054B85">
        <w:rPr>
          <w:i/>
          <w:sz w:val="22"/>
          <w:szCs w:val="22"/>
        </w:rPr>
        <w:t>. Adicionalmente, corresponde a las personas conocer y asumir los riesgos inherentes a las operaciones que realicen con las  “monedas virtuales”.”</w:t>
      </w:r>
    </w:p>
    <w:p w14:paraId="63076E0A" w14:textId="77777777" w:rsidR="00054B85" w:rsidRPr="00054B85" w:rsidRDefault="00054B85" w:rsidP="00054B85">
      <w:pPr>
        <w:jc w:val="both"/>
        <w:rPr>
          <w:sz w:val="22"/>
          <w:szCs w:val="22"/>
        </w:rPr>
      </w:pPr>
    </w:p>
    <w:p w14:paraId="2F156DF8" w14:textId="77777777" w:rsidR="00054B85" w:rsidRPr="00054B85" w:rsidRDefault="00054B85" w:rsidP="00054B85">
      <w:pPr>
        <w:jc w:val="both"/>
        <w:rPr>
          <w:sz w:val="22"/>
          <w:szCs w:val="22"/>
        </w:rPr>
      </w:pPr>
      <w:r w:rsidRPr="00054B85">
        <w:rPr>
          <w:sz w:val="22"/>
          <w:szCs w:val="22"/>
        </w:rPr>
        <w:t xml:space="preserve">Así las cosas, conforme </w:t>
      </w:r>
      <w:proofErr w:type="gramStart"/>
      <w:r w:rsidRPr="00054B85">
        <w:rPr>
          <w:sz w:val="22"/>
          <w:szCs w:val="22"/>
        </w:rPr>
        <w:t>a  lo</w:t>
      </w:r>
      <w:proofErr w:type="gramEnd"/>
      <w:r w:rsidRPr="00054B85">
        <w:rPr>
          <w:sz w:val="22"/>
          <w:szCs w:val="22"/>
        </w:rPr>
        <w:t xml:space="preserve"> señalado en la circular en mención esta Superintendencia prohibió a las entidades vigiladas custodiar, invertir o intermediar con monedas digitales e instó a las personas naturales a conocer y asumir los riesgos inherentes a las operaciones realizadas con dicho instrumento.  </w:t>
      </w:r>
    </w:p>
    <w:p w14:paraId="642891FE" w14:textId="77777777" w:rsidR="00054B85" w:rsidRPr="00054B85" w:rsidRDefault="00054B85" w:rsidP="00054B85">
      <w:pPr>
        <w:jc w:val="both"/>
        <w:rPr>
          <w:sz w:val="22"/>
          <w:szCs w:val="22"/>
        </w:rPr>
      </w:pPr>
    </w:p>
    <w:p w14:paraId="0375A162" w14:textId="77777777" w:rsidR="0076085B" w:rsidRDefault="0076085B" w:rsidP="00054B85">
      <w:pPr>
        <w:jc w:val="both"/>
        <w:rPr>
          <w:sz w:val="22"/>
          <w:szCs w:val="22"/>
        </w:rPr>
      </w:pPr>
    </w:p>
    <w:p w14:paraId="52BCD37D" w14:textId="77777777" w:rsidR="00054B85" w:rsidRPr="00054B85" w:rsidRDefault="00054B85" w:rsidP="00054B85">
      <w:pPr>
        <w:jc w:val="both"/>
        <w:rPr>
          <w:sz w:val="22"/>
          <w:szCs w:val="22"/>
        </w:rPr>
      </w:pPr>
      <w:r w:rsidRPr="00054B85">
        <w:rPr>
          <w:sz w:val="22"/>
          <w:szCs w:val="22"/>
        </w:rPr>
        <w:t>(…).»</w:t>
      </w:r>
    </w:p>
    <w:sectPr w:rsidR="00054B85" w:rsidRPr="00054B85" w:rsidSect="00054B85">
      <w:type w:val="continuous"/>
      <w:pgSz w:w="12242" w:h="15842" w:code="1"/>
      <w:pgMar w:top="1985" w:right="1418" w:bottom="1701"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22F51" w14:textId="77777777" w:rsidR="00054B85" w:rsidRDefault="00054B85" w:rsidP="00054B85">
      <w:r>
        <w:separator/>
      </w:r>
    </w:p>
  </w:endnote>
  <w:endnote w:type="continuationSeparator" w:id="0">
    <w:p w14:paraId="5691A9DB" w14:textId="77777777" w:rsidR="00054B85" w:rsidRDefault="00054B85" w:rsidP="0005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A46AA" w14:textId="77777777" w:rsidR="00054B85" w:rsidRDefault="00054B85" w:rsidP="00054B85">
      <w:r>
        <w:separator/>
      </w:r>
    </w:p>
  </w:footnote>
  <w:footnote w:type="continuationSeparator" w:id="0">
    <w:p w14:paraId="795499EC" w14:textId="77777777" w:rsidR="00054B85" w:rsidRDefault="00054B85" w:rsidP="00054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4B85"/>
    <w:rsid w:val="00054B85"/>
    <w:rsid w:val="00342396"/>
    <w:rsid w:val="00396B5A"/>
    <w:rsid w:val="00400E08"/>
    <w:rsid w:val="00415EF2"/>
    <w:rsid w:val="005B1D98"/>
    <w:rsid w:val="006820D4"/>
    <w:rsid w:val="0076085B"/>
    <w:rsid w:val="007A7D52"/>
    <w:rsid w:val="009F29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CD517"/>
  <w15:docId w15:val="{7EE2F93B-7615-4EB7-BA7A-DA0CFAAC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B85"/>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4B85"/>
    <w:pPr>
      <w:tabs>
        <w:tab w:val="center" w:pos="4252"/>
        <w:tab w:val="right" w:pos="8504"/>
      </w:tabs>
    </w:pPr>
  </w:style>
  <w:style w:type="character" w:customStyle="1" w:styleId="EncabezadoCar">
    <w:name w:val="Encabezado Car"/>
    <w:basedOn w:val="Fuentedeprrafopredeter"/>
    <w:link w:val="Encabezado"/>
    <w:rsid w:val="00054B85"/>
    <w:rPr>
      <w:lang w:val="es-ES" w:eastAsia="es-ES"/>
    </w:rPr>
  </w:style>
  <w:style w:type="paragraph" w:styleId="Piedepgina">
    <w:name w:val="footer"/>
    <w:basedOn w:val="Normal"/>
    <w:link w:val="PiedepginaCar"/>
    <w:rsid w:val="00054B85"/>
    <w:pPr>
      <w:tabs>
        <w:tab w:val="center" w:pos="4252"/>
        <w:tab w:val="right" w:pos="8504"/>
      </w:tabs>
    </w:pPr>
  </w:style>
  <w:style w:type="character" w:customStyle="1" w:styleId="PiedepginaCar">
    <w:name w:val="Pie de página Car"/>
    <w:basedOn w:val="Fuentedeprrafopredeter"/>
    <w:link w:val="Piedepgina"/>
    <w:rsid w:val="00054B85"/>
    <w:rPr>
      <w:lang w:val="es-ES" w:eastAsia="es-ES"/>
    </w:rPr>
  </w:style>
  <w:style w:type="paragraph" w:styleId="Textodeglobo">
    <w:name w:val="Balloon Text"/>
    <w:basedOn w:val="Normal"/>
    <w:link w:val="TextodegloboCar"/>
    <w:rsid w:val="00054B85"/>
    <w:rPr>
      <w:rFonts w:ascii="Tahoma" w:hAnsi="Tahoma" w:cs="Tahoma"/>
      <w:sz w:val="16"/>
      <w:szCs w:val="16"/>
    </w:rPr>
  </w:style>
  <w:style w:type="character" w:customStyle="1" w:styleId="TextodegloboCar">
    <w:name w:val="Texto de globo Car"/>
    <w:basedOn w:val="Fuentedeprrafopredeter"/>
    <w:link w:val="Textodeglobo"/>
    <w:rsid w:val="00054B8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erfinanciera.gov.c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2520</Characters>
  <Application>Microsoft Office Word</Application>
  <DocSecurity>0</DocSecurity>
  <Lines>21</Lines>
  <Paragraphs>5</Paragraphs>
  <ScaleCrop>false</ScaleCrop>
  <Company>superfinanciera</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hagonzalez</dc:creator>
  <cp:keywords/>
  <dc:description/>
  <cp:lastModifiedBy>Omar Alejandro Vera Lopez</cp:lastModifiedBy>
  <cp:revision>2</cp:revision>
  <dcterms:created xsi:type="dcterms:W3CDTF">2020-04-15T15:53:00Z</dcterms:created>
  <dcterms:modified xsi:type="dcterms:W3CDTF">2020-04-15T15:53:00Z</dcterms:modified>
</cp:coreProperties>
</file>